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Beth prebuild operating blueprint</w:t>
      </w:r>
    </w:p>
    <w:p>
      <w:pPr>
        <w:pStyle w:val="Subtitle"/>
      </w:pPr>
      <w:r>
        <w:t>Philippine founder advisory profiling quotation and specialist coordination</w:t>
      </w:r>
    </w:p>
    <w:p>
      <w:r>
        <w:t>Prepared 2 October 2026. Planning draft for the business owner, service operations lead, Philippine accounting and legal reviewers, and future product team.</w:t>
      </w:r>
    </w:p>
    <w:p>
      <w:r>
        <w:t>Beth should be a knowledgeable front door to professional services. It answers straightforward questions with current evidence, helps a founder recognize possible gaps, confirms the work they want, presents an indicative scope and price, and introduces an eligible specialist. The service business grows by delivering useful ongoing support as the founder grows.</w:t>
      </w:r>
    </w:p>
    <w:p>
      <w:r>
        <w:t>Before implementation, approve five linked assets: the knowledge library, the profiling and routing rules, the service catalog, the pricing and workload rules, and the specialist directory. The accompanying workbook seeds all five and documents the relationships between them.</w:t>
      </w:r>
    </w:p>
    <w:p>
      <w:r>
        <w:t>The design works backwards from the founder journey. Start with the founder situation and the outcome they need, anticipate recognizable concerns and possible blind spots, prepare corresponding questions and sourced explanations, then map confirmed needs to actual fulfillment items. A service exists in the catalog only as an available delivery route. Its existence is not evidence that a founder needs it.</w:t>
      </w:r>
    </w:p>
    <w:p>
      <w:r>
        <w:t>The package priorities, effort ranges, refresh intervals, commercial controls and sample prices are proposals. They are not a measured top ten ranking, Philippine market fee survey, statutory service timeline, or approved legal opinion. Researched sources are individually marked by access and approval status. No real specialist roster or client data was supplied.</w:t>
      </w:r>
    </w:p>
    <w:p>
      <w:pPr>
        <w:pStyle w:val="Heading1"/>
      </w:pPr>
      <w:r>
        <w:t>Founder journey as the starting point</w:t>
      </w:r>
    </w:p>
    <w:p>
      <w:r>
        <w:t>The supplied catalog contains 1180 tier entries and 288 distinct codes across Accounting Audit Licensing Others and Tax. Preserve those source codes and original prices. The 29 work units in this plan describe proposed work scopes and effort estimates, not newly approved catalog services. Their candidate mappings indicate exact candidates, partial coverage, bundled alternatives or gaps. [SRC22]</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Founder stage</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Concern and possible blind spot</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Response and corresponding FAQ</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Exploring an idea</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Will this business work and how do I start without committing too much money? Structure and foreign ownership may limit the route before registration</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Research applicability first; use consultation if needed. FAQ01 FAQ02 FAQ03 FAQ21</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Preparing the first sale</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Can I accept payment and give a customer the right document? Name registration alone may not complete operating requirements; invoice setup may be missing</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Select only registration gaps; no automatic software upsell. FAQ01 FAQ03 FAQ07 FAQ08</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Running the first months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What must I keep and file when I am busy or barely profitable? Low sales do not establish no filings; mixed personal funds conceal records</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Retainer only after agreed limits and applicable forms. FAQ04 FAQ05 FAQ06 FAQ12 FAQ13</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Selling online or through platforms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The platform takes money out Have I already paid my tax? Platform withholding credits returns and actual settlement reconciliation differ</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Electronic invoice application only after current coverage review. FAQ08 FAQ09 FAQ10 FAQ11</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Hiring the first workers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How do I pay people properly without a payroll department? Employment status employer accounts and remittance duties may be uncertain</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Separate payroll runs from monthly agency work. FAQ16 FAQ17</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Reaching the first year end</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What reports are due and does my business need an audit? Tax year company information ownership disclosures and audit requirements are different</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Annual return by entity; independent audit only if justified. FAQ18 FAQ19</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Growing or adding a location</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Sales are growing What changes now and why is cash still tight? Tax status branch permits inventory and management information may change</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Upgrade scope because work changes not just revenue or tier label. FAQ04 FAQ05 FAQ06 FAQ20</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Entering from overseas</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Can I own this operate here and hire or relocate people? Sector capital structure work permits and cross border taxes may constrain setup</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Counsel decision precedes company formation package. FAQ21</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Discovering a backlog or letter</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Am I in trouble and what is the smallest useful next step? No filing evidence may mean missing records rather than missing return; notice deadlines are case specific</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Triage before full audit assistance or reconstruction quote. FAQ14 FAQ15</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Moving pausing or closing</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Can I stop paying for compliance now that I stopped trading? Stopping sales differs from completed agency updates closure and liability review</w:t>
            </w:r>
          </w:p>
        </w:tc>
        <w:tc>
          <w:tcPr>
            <w:tcW w:type="dxa" w:w="28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Choose change dormancy or dissolution route; do not sell all three. FAQ13 FAQ20 FAQ22</w:t>
            </w:r>
          </w:p>
        </w:tc>
      </w:tr>
    </w:tbl>
    <w:p/>
    <w:p>
      <w:r>
        <w:t>Must do means a reviewed legal obligation triggered by the founder actual facts; Beth should explain why it applies. Can do means optional help that improves records, cash or operations. Need now, need later, already handled and unknown are separate states. Expert accounting and audit knowledge should reveal possibilities without turning each possibility into a paid requirement.</w:t>
      </w:r>
    </w:p>
    <w:p>
      <w:pPr>
        <w:pStyle w:val="Heading1"/>
      </w:pPr>
      <w:r>
        <w:t>How the existing catalog will support founder needs</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Founder need</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Source code candidates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Selection boundary</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First company setup</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FF0160 or FF0060 or DD001</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Choose structure and one bundled route; do not stack full agency setup charges</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Books and agreed filings</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AA0040 or AA0030; AA0110 if books handled elsewhere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Clarify what each retainer already includes</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Individual annual return</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GG0010 or other appropriate scoped ITR variant</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Annual return is not the same scope as quarterly recurring support</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First payroll</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FF006; BB0030 or relevant worker payroll variant; AA0300 if not bundled</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Avoid adding AA0300 when selected AA0250 already includes the same contributions</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Corporate annual reports</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Entity appropriate GG code and FF0030 GIS; independent audit if needed</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BOD HARBOR coverage absent as explicit item; verify or add service</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Backlog or BIR letter</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II0030 first; AA0310 CC0120 or GG0100 after diagnosis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Consultation cleanup and full audit assistance are distinct scopes</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Move or cease activity</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FF0320 or FF0330; FF0270 or FF0180 as applicable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Address change dormancy and dissolution are alternatives by facts</w:t>
            </w:r>
          </w:p>
        </w:tc>
      </w:tr>
    </w:tbl>
    <w:p/>
    <w:p>
      <w:r>
        <w:t>The source prices lack currency, billing periods, tax treatment and tier definitions. There are 159 zero priced rows, one negative price and explicit test entries. Preserve these as source facts and resolve meaning before quote automation. Zero may mean included, unavailable, waived or missing; negative one may be a sentinel. Neither is a valid automatic founder price without owner confirmation. [SRC22]</w:t>
      </w:r>
    </w:p>
    <w:p>
      <w:r>
        <w:t>The catalog mixes standalone work, bundled work, retainers, reminders and specialist engagements. A reminder entry is not proof that the filing is performed. Large advisory and reconstruction engagements should not become the default answer to a small founder question. The Catalogue Issues sheet also flags the CC0200 Silver price outlier and possible obsolete BIR annual fee reminder interpretation for owner review; the original data is not corrected. [SRC22 SRC01]</w:t>
      </w:r>
    </w:p>
    <w:p>
      <w:pPr>
        <w:pStyle w:val="Heading1"/>
      </w:pPr>
      <w:r>
        <w:t>1 Service promise and commercial model</w:t>
      </w:r>
    </w:p>
    <w:p>
      <w:r>
        <w:t>Beth should first solve the immediate question. A founder may use the answer without becoming a lead. When the facts reveal a possible service need, Beth explains it in ordinary language and asks whether the founder recognizes the issue. Commercial recommendations follow confirmed need and urgency. Uncertainty becomes a diagnostic task rather than an invented diagnosis.</w:t>
      </w:r>
    </w:p>
    <w:p>
      <w:r>
        <w:t>The recommended initial model is a managed service network: Beth owns the intake experience and coordinates a named preparer, reviewer and admin owner. The engagement must identify the contracting professional, scope, responsibility for submissions, fees and complaint process. If the owner chooses a referral marketplace instead, quotes, commissions, professional liability and partner responsibilities need different contractual treatment. Resolve this before partner onboarding.</w:t>
      </w:r>
    </w:p>
    <w:p>
      <w:pPr>
        <w:pStyle w:val="ListBullet"/>
      </w:pPr>
      <w:r>
        <w:t>Free entry: short cited answers and a brief no document screening conversation.</w:t>
      </w:r>
    </w:p>
    <w:p>
      <w:pPr>
        <w:pStyle w:val="ListBullet"/>
      </w:pPr>
      <w:r>
        <w:t>Paid diagnostic: bounded review when facts, tax status, backlog or foreign entry are unclear.</w:t>
      </w:r>
    </w:p>
    <w:p>
      <w:pPr>
        <w:pStyle w:val="ListBullet"/>
      </w:pPr>
      <w:r>
        <w:t>Project work: registration, cleanup, year end, change and closure, priced by explicit scope units.</w:t>
      </w:r>
    </w:p>
    <w:p>
      <w:pPr>
        <w:pStyle w:val="ListBullet"/>
      </w:pPr>
      <w:r>
        <w:t>Recurring work: books, payroll and agreed filings, with stated allowances and change triggers.</w:t>
      </w:r>
    </w:p>
    <w:p>
      <w:r>
        <w:t>Sales success should include correct routing, completed jobs and retention, as well as conversion. Beth must not exaggerate penalty risk, describe all possible gaps as proven problems, conceal commissions, or promise zero penalties. A founder may decline a recommendation or receive a factual answer without purchasing anything.</w:t>
      </w:r>
    </w:p>
    <w:p>
      <w:pPr>
        <w:pStyle w:val="Heading1"/>
      </w:pPr>
      <w:r>
        <w:t>2 Founder journey and human handoff</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Step</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Beth does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Decision recorded</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Answer</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Explain the immediate question using dated sources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Answer scope and claim citations</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Screen</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Ask 6 to 10 relevant easy questions one at a time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Stage location structure urgency and unknowns</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Identify</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Describe up to 3 likely needs with reasons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Suspected issues and evidence gaps</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Confirm</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Let the founder correct the summary and choose a priority</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Confirmed needs and deferred issues</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Estimate</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Build scope from service codes and approved workload rules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Quote version units assumptions and exclusions</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Match</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Filter eligible specialists and show suitable options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Eligibility reasons and founder preference</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Admin</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Collect job specific records securely and verify scope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Document checklist and final engagement</w:t>
            </w:r>
          </w:p>
        </w:tc>
      </w:tr>
      <w:tr>
        <w:trPr>
          <w:cantSplit/>
        </w:trPr>
        <w:tc>
          <w:tcPr>
            <w:tcW w:type="dxa" w:w="12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Deliver</w:t>
            </w:r>
          </w:p>
        </w:tc>
        <w:tc>
          <w:tcPr>
            <w:tcW w:type="dxa" w:w="446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Assign preparer and reviewer and collect completion evidence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Accepted work filing proof payment proof and next obligations</w:t>
            </w:r>
          </w:p>
        </w:tc>
      </w:tr>
    </w:tbl>
    <w:p/>
    <w:p>
      <w:r>
        <w:t>An official notice, an imminent deadline, a legal dispute, uncertain foreign ownership eligibility, an unavailable rule, or complex records changes the sequence. Beth offers a human review promptly. Unknown critical facts prevent a firm quote, but do not prevent a bounded diagnostic estimate. No ranking automatically dispatches a professional: the founder chooses, the specialist accepts, and the engagement authorizes the work.</w:t>
      </w:r>
    </w:p>
    <w:p>
      <w:pPr>
        <w:pStyle w:val="Heading1"/>
      </w:pPr>
      <w:r>
        <w:t>3 Ten proposed pain points and packages</w:t>
      </w:r>
    </w:p>
    <w:p>
      <w:r>
        <w:t>These ten packages translate recognizable founder concerns into modular work. Their order is a launch hypothesis. Validate frequency, severity, willingness to pay and delivery cost through founder interviews, actual inquiry tagging and partner estimates before advertising a ranked top ten.</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Code and package</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Pain and promised outcome</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Source service candidates</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PK01 Start correctly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 want to launch but do not know what is required. Outcome: Registration papers and a clear obligation map</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II0030; AA0065; FF0160; FF0060; DD001; FF0010; FF0210; FF0025; EE003; EE004</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PK02 Keep records and file on time</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I am busy and do not know whether my records and filings are complete. Outcome: Reconciled books and evidence of agreed filings</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AA0040; AA0030; GG0010; GG0020; GG0030; AA0110; AA0020; AA0290; AA0320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PK03 Choose and check my tax position</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 do not understand VAT non VAT or available individual tax options. Outcome: Reviewed tax applicability and action plan</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II0030; AA0065; GG0150; FF0510; FF0525; FF0320; FF0330; FF0230; FF0050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PK04 Fix invoices and sales records</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Customers ask for invoices or I sell through online channels. Outcome: Invoice workflow and sales reconciliation</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FF0210; FF0025; EE003; EE004; II0030; FF0515; EE007; EE008; AA0040; AA0030; AA0110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PK05 Hire and pay correctly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 am hiring and do not know my payroll duties. Outcome: Payroll records and agreed reporting evidence</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FF006; BB0030; BB0020; BB0010; AA0250; AA0300; AA0330; AA0020; AA0290; AA0320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PK06 Complete company year end</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I have a corporation and do not know which annual reports apply. Outcome: Agreed annual reporting package and receipts</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AA0270; GG0010; GG0020; GG0030; AA0110; FF0030; FF0035; FF0040; FF0045; AA0010; CC0060; CC0070; CC0210; CC0080; CC0090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PK07 Catch up safely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 may have missed returns or my accountant left. Outcome: Recovery plan and completed scoped remedial returns</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II0030; AA0065; CC0120; AA0140; AA0025; AA0310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PK08 Plan a foreign owned business</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I am a foreigner or have overseas owners and want to enter the Philippines. Outcome: Entry recommendation and confirmed implementation scope</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II0040; GG0150; FF0160; FF0060; DD001; FF0010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PK09 Change pause or close correctly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 moved changed structure stopped trading or want to close. Outcome: Agency by agency action plan and completion evidence</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II0030; AA0065; FF0510; FF0525; FF0320; FF0330; FF0230; FF0050; FF0270; FF0180</w:t>
            </w:r>
          </w:p>
        </w:tc>
      </w:tr>
      <w:tr>
        <w:trPr>
          <w:cantSplit/>
        </w:trPr>
        <w:tc>
          <w:tcPr>
            <w:tcW w:type="dxa" w:w="216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PK10 Understand cash and prepare to grow</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Sales grow but cash is tight and I need useful accounts. Outcome: Cash forecast and usable financial reports</w:t>
            </w:r>
          </w:p>
        </w:tc>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AA0040; AA0030; AA0010; BB0050; BB0080; CC0060; CC0070; CC0210; II0030; GG0150</w:t>
            </w:r>
          </w:p>
        </w:tc>
      </w:tr>
    </w:tbl>
    <w:p/>
    <w:p>
      <w:r>
        <w:t>Prioritize PK02 recurring bookkeeping and agreed filings, PK01 straightforward setup, PK04 invoice checks, PK05 payroll and PK07 bounded catch up diagnostics in a covered pilot region. Offer corporate year end with human review. Route foreign entry, audits, disputes and complex closure to expert led scoping. Do not advertise nationwide local execution until partner coverage and each LGU checklist exist.</w:t>
      </w:r>
    </w:p>
    <w:p>
      <w:r>
        <w:t>A package does not make every component compulsory. A founder with an existing BIR registration does not need to buy it again. Quarterly return work may not apply to every customer, and audit applicability requires review. The Components sheet records conditions and units; overlapping packages must share one canonical billable scope.</w:t>
      </w:r>
    </w:p>
    <w:p>
      <w:pPr>
        <w:pStyle w:val="Heading1"/>
      </w:pPr>
      <w:r>
        <w:t>4 Service catalog effort and frequency</w:t>
      </w:r>
    </w:p>
    <w:p>
      <w:r>
        <w:t>Every service record needs a stable source code and a versioned definition: founder label, professional scope, deliverable, billing unit, included volume, assumptions, exclusions, prerequisites, required specialty, review role, documents, active effort range, elapsed timing range, price rule and effective dates. The workbook preserves 288 source codes and adds 29 proposed work units for scope and effort calibration. Work unit IDs below are planning identifiers; they require catalog mapping and approval before billing.</w:t>
      </w:r>
    </w:p>
    <w:tbl>
      <w:tblPr>
        <w:tblW w:type="auto" w:w="0"/>
        <w:jc w:val="center"/>
        <w:tblLayout w:type="fixed"/>
        <w:tblLook w:firstColumn="1" w:firstRow="1" w:lastColumn="0" w:lastRow="0" w:noHBand="0" w:noVBand="1" w:val="04A0"/>
      </w:tblPr>
      <w:tblGrid>
        <w:gridCol w:w="2437"/>
        <w:gridCol w:w="2437"/>
        <w:gridCol w:w="2437"/>
        <w:gridCol w:w="2437"/>
      </w:tblGrid>
      <w:tr>
        <w:trPr>
          <w:tblHeade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Service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Base unit</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Delivery hours</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Review and admin hours</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NAV01 Business compliance check</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entity diagnostic</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1 to 2</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0.5 review and 0.5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REG03 BIR registration assistance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entity or branch</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3 to 6</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1 review and 1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BK01 Monthly bookkeeping</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month; up to 100 accounting entries</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6 to 10</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1 review and 1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BK02 Extra bookkeeping volume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Additional 100 accounting entries per month</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2 to 4</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0.25 review and 0.25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BK03 Past records cleanup</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historical month; up to 100 entries</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8 to 16</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2 review and 1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TX02 Income tax return assistance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return for one tax period</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2 to 4</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0.5 review and 0.5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PAY02 Payroll processing</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payroll run; up to 5 employees</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2 to 4</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0.5 review and 0.5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SEC02 Year end financial statements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entity; one year; reconciled books</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8 to 20</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4 review and 1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REM01 Missed filing diagnostic</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entity; up to 12 month scan</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3 to 8</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2 review and 1 admin</w:t>
            </w:r>
          </w:p>
        </w:tc>
      </w:tr>
      <w:tr>
        <w:trPr>
          <w:cantSplit/>
        </w:trPr>
        <w:tc>
          <w:tcPr>
            <w:tcW w:type="dxa" w:w="32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FOR01 Foreign founder feasibility review</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proposed activity and structure</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3 to 6</w:t>
            </w:r>
          </w:p>
        </w:tc>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3 review and 1 admin</w:t>
            </w:r>
          </w:p>
        </w:tc>
      </w:tr>
    </w:tbl>
    <w:p/>
    <w:p>
      <w:r>
        <w:t>These are provisional staffing hypotheses. A typical base case means one entity and location, domestic activity, one tax year, at most two financial accounts, clean retrievable digital records and no dispute. BK01 additionally covers up to 100 accounting entries per month; PAY02 covers up to five employees per payroll run. Specialist cases have different bases. Revenue is a sizing clue, not a substitute for workload.</w:t>
      </w:r>
    </w:p>
    <w:p>
      <w:r>
        <w:t>One accounting entry means one record requiring coding or reconciliation under the agreed books scope. Reconciliation must not count the same sale and its settlement as two billable sales unless the catalog explicitly distinguishes tasks. Extra BK02 blocks cover excess volume; additional entities, branches, currencies, inventory complexity and missing months should normally be separate work units or reviewed scope changes.</w:t>
      </w:r>
    </w:p>
    <w:p>
      <w:r>
        <w:t>Staff days equal active hours divided by the agreed productive hours per person per day. They are not elapsed days. Elapsed delivery includes queue time, founder responses, reconciliation, reviewer capacity, filings and external agency processing. The workbook timing ranges begin only after required records, authority, fee agreement and staff capacity are confirmed. They are planning estimates, not agency guarantees.</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Frequency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How to count</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Avoid</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time or event</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diagnostic or defined agency event</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Assuming every founder needs a new registration</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Per payroll run</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Actual agreed runs in the period</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Charging monthly remittances again for each run</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Monthly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Books and applicable monthly agency work</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Treating every tax return as monthly</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Quarterly</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Applicable form and period</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Multiplying all income tax services by four automatically</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Annual</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Applicable reporting year and entity</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Including audit opinion in preparation fee</w:t>
            </w:r>
          </w:p>
        </w:tc>
      </w:tr>
      <w:tr>
        <w:trPr>
          <w:cantSplit/>
        </w:trPr>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Project or urgent</w:t>
            </w:r>
          </w:p>
        </w:tc>
        <w:tc>
          <w:tcPr>
            <w:tcW w:type="dxa" w:w="432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Affected periods or accepted milestones</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Fixed recovery quote before records and notice review</w:t>
            </w:r>
          </w:p>
        </w:tc>
      </w:tr>
    </w:tbl>
    <w:p/>
    <w:p>
      <w:pPr>
        <w:pStyle w:val="Heading1"/>
      </w:pPr>
      <w:r>
        <w:t>5 Complexity and indicative pricing</w:t>
      </w:r>
    </w:p>
    <w:p>
      <w:r>
        <w:t>Use a maintained rate card and scoped work units. Beth must not invent fees from general AI training or scrape a few advertised prices and call them a standard. Partner labor rates, actual time records, accepted scopes and the owner approved commercial policy are the pricing evidence.</w:t>
      </w:r>
    </w:p>
    <w:p>
      <w:pPr>
        <w:pStyle w:val="Heading2"/>
      </w:pPr>
      <w:r>
        <w:t>Sizing dimensions</w:t>
      </w:r>
    </w:p>
    <w:p>
      <w:pPr>
        <w:pStyle w:val="ListBullet"/>
      </w:pPr>
      <w:r>
        <w:t>Volume: accounting entries, documents, financial accounts, employees and payroll runs.</w:t>
      </w:r>
    </w:p>
    <w:p>
      <w:pPr>
        <w:pStyle w:val="ListBullet"/>
      </w:pPr>
      <w:r>
        <w:t>Scope: entity count, branches, agencies, forms, filing periods and affected historical months.</w:t>
      </w:r>
    </w:p>
    <w:p>
      <w:pPr>
        <w:pStyle w:val="ListBullet"/>
      </w:pPr>
      <w:r>
        <w:t>Record condition: clean reconciled records, partial records, recoverable backlog or insufficient records.</w:t>
      </w:r>
    </w:p>
    <w:p>
      <w:pPr>
        <w:pStyle w:val="ListBullet"/>
      </w:pPr>
      <w:r>
        <w:t>Professional complexity: tax position, ownership chain, inventory, foreign currency, cross border issues, special sectors and disputes.</w:t>
      </w:r>
    </w:p>
    <w:p>
      <w:pPr>
        <w:pStyle w:val="ListBullet"/>
      </w:pPr>
      <w:r>
        <w:t>Delivery: remote or onsite, travel requirements, deadline, specialist capacity and review needs.</w:t>
      </w:r>
    </w:p>
    <w:p>
      <w:r>
        <w:t>Revenue bands can help distinguish founder size and probable reporting needs. Keep commercial revenue bands distinct from BIR taxpayer classification, VAT applicability, an individual tax option and the eligibility rules for a particular industry. Do not apply a revenue surcharge unless the rate card identifies additional work or professional responsibility it covers.</w:t>
      </w:r>
    </w:p>
    <w:p>
      <w:pPr>
        <w:pStyle w:val="Heading2"/>
      </w:pPr>
      <w:r>
        <w:t>Transparent cost method</w:t>
      </w:r>
    </w:p>
    <w:p>
      <w:r>
        <w:t>For each quote line: direct cost = delivery hours × delivery cost rate + reviewer hours × reviewer cost rate + admin hours × admin cost rate. Apply an approved uncertainty allowance to direct labor only when records justify it. Add once per quote the overhead allocation and any explicit travel or software costs. Professional fee = total delivery cost ÷ (1 − target gross margin). Government charges, client taxes, penalties and professional fee tax treatment are separate amounts.</w:t>
      </w:r>
    </w:p>
    <w:p>
      <w:r>
        <w:t>Margin is not markup: a 35 percent target margin divides cost by 0.65. Use low and high delivery hours for an indicative fee range. Once complexity has been reflected in revised hours or extra service units, do not charge an additional complexity multiplier for the same work. Unknown professional costs are pending human quotes, not zero.</w:t>
      </w:r>
    </w:p>
    <w:p>
      <w:r>
        <w:t>The Pricing sheet is a formula driven demonstration covering a compliance check, one month of books and one quarterly income tax return. Its example labor costs and 35 percent margin are planning assumptions, not researched Philippine supplier costs. Market retail evidence appears separately in Market Offers and Market Benchmarks. The demonstration is a mixed period project illustration, not a monthly subscription. Replace its inputs with approved costs before quoting.</w:t>
      </w:r>
    </w:p>
    <w:p>
      <w:pPr>
        <w:pStyle w:val="Heading2"/>
      </w:pPr>
      <w:r>
        <w:t>Philippine market pricing</w:t>
      </w:r>
    </w:p>
    <w:p>
      <w:r>
        <w:t>Research date: October 2 2026. The workbook records 30 advertised offers across nine provider groups, including one marketplace with multiple partner offers. These are public retail offers, not completed-job invoices, a representative national survey, or supplier costs. Several are starting prices, location-dependent variants or indicative ranges. Unknown volume caps, tax treatment and availability reduce comparability. No national average or median is claimed.</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Service segment</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Advertised reference in PHP</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Evidence</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Books and tax</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5,000–20,000 per month</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M01 M02 M03; starting offers and indicative range</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Small-team payroll</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4,500–6,500 per month for up to five</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M03; one matched size offer</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Managed payroll minimum</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11,200 per month</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M05; different service model</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Sole proprietor setup</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12,000–25,000 per project</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M03 M11; LGU coverage differs</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Domestic company setup</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32,625–60,000 per project</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M03 M10; agency coverage differs</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GIS filing</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2,000–6,720 per filing</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M07 M09; notarization and tax differ</w:t>
            </w:r>
          </w:p>
        </w:tc>
      </w:tr>
      <w:tr>
        <w:trPr>
          <w:cantSplit/>
        </w:trPr>
        <w:tc>
          <w:tcPr>
            <w:tcW w:type="dxa" w:w="288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Annual audit</w:t>
            </w:r>
          </w:p>
        </w:tc>
        <w:tc>
          <w:tcPr>
            <w:tcW w:type="dxa" w:w="331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15,000–80,000 per engagement</w:t>
            </w:r>
          </w:p>
        </w:tc>
        <w:tc>
          <w:tcPr>
            <w:tcW w:type="dxa" w:w="35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M03 M12; wide span, human scoping</w:t>
            </w:r>
          </w:p>
        </w:tc>
      </w:tr>
    </w:tbl>
    <w:p/>
    <w:p>
      <w:r>
        <w:t>Treat these as working advertised benchmarks rather than automatic quotations. The Market Offers sheet preserves the exact source, unit, price basis and caveat. Taxumo software quarterly billing is 2,699, 4,995 or 6,995 depending on plan; its 3,000/month accountant support is additional. Annual and two-year payment terms differ. Do not compare a software subscription with full managed books and payroll. [M04]</w:t>
      </w:r>
    </w:p>
    <w:p>
      <w:r>
        <w:t>MPM includes payroll software in its outsourced service, requires a 12-month contract, and may charge setup. Apply its minimum before multiplying headcount: a five-person client would meet the 11,200 monthly floor. Contribution and tax remittance execution must be confirmed rather than inferred from report preparation. [M05]</w:t>
      </w:r>
    </w:p>
    <w:p>
      <w:r>
        <w:t>The supplied catalog can be positioned against market evidence only after its currency, billing period and tier allowances are confirmed. FF0060 lists 45,000 Startup and 50,000 Core for six-agency formation, within the domestic setup reference. AA0040 lists 5,000 and 7,000 for books and BIR review, near the lower end if monthly and comparable. These are conditional comparisons, not repricing instructions. [SRC22]</w:t>
      </w:r>
    </w:p>
    <w:p>
      <w:r>
        <w:t>Proposed Beth positioning: test a clearly capped 8,000–12,000 monthly managed books-and-tax offer for a simple, clean, one-entity business if approved delivery costs support it. This is a commercial proposal within the observed range, not an observed market norm for 100 entries. Offer narrower tax support when the founder already has reliable books. Use volume, record quality, payroll runs, agency count and professional review to explain upgrades. Revenue helps route applicability but should not be the sole price multiplier.</w:t>
      </w:r>
    </w:p>
    <w:p>
      <w:r>
        <w:t>There is insufficient comparable evidence for a full corporate year-end bundle, business annual ITR, remedial reconstruction, foreign feasibility advice, systems implementation, disputes or multi-agency closure. Quote diagnostic work first and obtain a specialist proposal for execution. The Form 1700 employment return offer is excluded from entrepreneur ITR benchmarking. A closure product has conflicting title and description and is excluded. Early-access OPC pricing is kept outside the central setup comparison. [M13 M15 M16]</w:t>
      </w:r>
    </w:p>
    <w:p>
      <w:r>
        <w:t>Market refresh should capture date, exact product variant, entity type, transaction allowance, included returns, headcount, payroll runs, contract term, software, VAT basis, government charges and exclusions. Seek at least three written like-for-like quotes per pilot segment without treating several tiers of one provider as independent observations. Reconcile quotes with time logs and contribution margin before approving the Beth rate card.</w:t>
      </w:r>
    </w:p>
    <w:p>
      <w:pPr>
        <w:pStyle w:val="Heading2"/>
      </w:pPr>
      <w:r>
        <w:t>Overheads to validate</w:t>
      </w:r>
    </w:p>
    <w:p>
      <w:pPr>
        <w:pStyle w:val="ListBullet"/>
      </w:pPr>
      <w:r>
        <w:t>Per job: intake verification, document chasing, assignment, review coordination, quality checks, client communication and archiving.</w:t>
      </w:r>
    </w:p>
    <w:p>
      <w:pPr>
        <w:pStyle w:val="ListBullet"/>
      </w:pPr>
      <w:r>
        <w:t>Recurring platform cost: knowledge maintenance, professional reviewer time, support, software, payment processing and partner operations.</w:t>
      </w:r>
    </w:p>
    <w:p>
      <w:pPr>
        <w:pStyle w:val="ListBullet"/>
      </w:pPr>
      <w:r>
        <w:t>Professional delivery: supervision, rework, travel, specialist availability, insurance and regulatory costs where applicable.</w:t>
      </w:r>
    </w:p>
    <w:p>
      <w:pPr>
        <w:pStyle w:val="ListBullet"/>
      </w:pPr>
      <w:r>
        <w:t>Commercial model: customer acquisition, refunds, bad debts and commissions. Allocate fixed costs and variable costs once; avoid embedding them in labor rates and adding them again.</w:t>
      </w:r>
    </w:p>
    <w:p>
      <w:r>
        <w:t>Each displayed quote needs plain language tasks and purpose, entity and periods, included units, fee range, external amounts, assumptions, record requirements, delivery timing conditions, named review route, validity and acceptance process. A 14 day validity window is a proposed commercial policy. A materially changed scope requires a revised quote and founder approval before extra work.</w:t>
      </w:r>
    </w:p>
    <w:p>
      <w:pPr>
        <w:pStyle w:val="Heading1"/>
      </w:pPr>
      <w:r>
        <w:t>6 Profiling without a document burden</w:t>
      </w:r>
    </w:p>
    <w:p>
      <w:r>
        <w:t>The Profiling sheet supplies 32 questions with answer options, profile fields, branch conditions and decisions. Beth should ask a relevant subset. Initial answers are self reported. A founder may select not sure, skip optional revenue or budget questions, or ask only for an answer. Language should be English or Filipino as preferred, with Taglish variations approved by a local reviewer.</w:t>
      </w:r>
    </w:p>
    <w:p>
      <w:pPr>
        <w:pStyle w:val="Heading2"/>
      </w:pPr>
      <w:r>
        <w:t>Core conversation</w:t>
      </w:r>
    </w:p>
    <w:p>
      <w:pPr>
        <w:pStyle w:val="ListBullet"/>
      </w:pPr>
      <w:r>
        <w:t>What would you like help with today?</w:t>
      </w:r>
    </w:p>
    <w:p>
      <w:pPr>
        <w:pStyle w:val="ListBullet"/>
      </w:pPr>
      <w:r>
        <w:t>Have you received an official letter or is something due very soon?</w:t>
      </w:r>
    </w:p>
    <w:p>
      <w:pPr>
        <w:pStyle w:val="ListBullet"/>
      </w:pPr>
      <w:r>
        <w:t>Are you planning, already selling, paused or closing?</w:t>
      </w:r>
    </w:p>
    <w:p>
      <w:pPr>
        <w:pStyle w:val="ListBullet"/>
      </w:pPr>
      <w:r>
        <w:t>Which city or municipality is the business based in?</w:t>
      </w:r>
    </w:p>
    <w:p>
      <w:pPr>
        <w:pStyle w:val="ListBullet"/>
      </w:pPr>
      <w:r>
        <w:t>What do you sell or do?</w:t>
      </w:r>
    </w:p>
    <w:p>
      <w:pPr>
        <w:pStyle w:val="ListBullet"/>
      </w:pPr>
      <w:r>
        <w:t>Are you an individual business, partnership, corporation or not sure?</w:t>
      </w:r>
    </w:p>
    <w:p>
      <w:pPr>
        <w:pStyle w:val="ListBullet"/>
      </w:pPr>
      <w:r>
        <w:t>Are any owners non Filipino or is an overseas company involved?</w:t>
      </w:r>
    </w:p>
    <w:p>
      <w:pPr>
        <w:pStyle w:val="ListBullet"/>
      </w:pPr>
      <w:r>
        <w:t>Which registrations do you have: DTI or SEC, BIR, city permit, none or not sure?</w:t>
      </w:r>
    </w:p>
    <w:p>
      <w:pPr>
        <w:pStyle w:val="ListBullet"/>
      </w:pPr>
      <w:r>
        <w:t>About how many monthly sales, expense or account entries do you handle?</w:t>
      </w:r>
    </w:p>
    <w:p>
      <w:pPr>
        <w:pStyle w:val="ListBullet"/>
      </w:pPr>
      <w:r>
        <w:t>Are you paying anyone to work for you?</w:t>
      </w:r>
    </w:p>
    <w:p>
      <w:r>
        <w:t>Follow up only where useful: records behind, accounts mixed, VAT status, marketplace sales, invoice method, payroll setup, corporate reports or a recent change. Ask revenue bands when it affects the review; never demand an exact figure for a basic answer. Ask budget only after explaining the need, and use it to sequence work rather than alter the legal assessment.</w:t>
      </w:r>
    </w:p>
    <w:p>
      <w:pPr>
        <w:pStyle w:val="Heading2"/>
      </w:pPr>
      <w:r>
        <w:t>Finding hidden needs</w:t>
      </w:r>
    </w:p>
    <w:p>
      <w:r>
        <w:t>A hidden need is a hypothesis with an explanation. Example: a founder selling online says the platform deducts tax. Beth can ask whether the founder reconciles platform statements and keeps withholding certificates, then explain that the deductions do not establish completion of all obligations. It should not assert underpayment or penalties. The founder confirms whether reconciliation or a tax review would help. [SRC05]</w:t>
      </w:r>
    </w:p>
    <w:p>
      <w:r>
        <w:t>Keep observed facts, suspected issues, unknown applicability, urgency, founder confirmation and purchased scope in separate fields. Confidence should describe evidence quality and missing facts, not a model generated percentage. Unknown registration details lead to a limited review; absence of a filing receipt is not automatically non filing.</w:t>
      </w:r>
    </w:p>
    <w:p>
      <w:pPr>
        <w:pStyle w:val="Heading2"/>
      </w:pPr>
      <w:r>
        <w:t>Plain language confirmation</w:t>
      </w:r>
    </w:p>
    <w:p>
      <w:r>
        <w:t>Example: You told me you sell online, keep records in a spreadsheet, and are unsure whether the platform deductions cover your taxes. I suggest first reconciling one month of sales and asking a tax accountant to check which filings apply. Does that describe the help you need, or have I misunderstood anything?</w:t>
      </w:r>
    </w:p>
    <w:p>
      <w:pPr>
        <w:pStyle w:val="Heading1"/>
      </w:pPr>
      <w:r>
        <w:t>7 Stage two administration and documents</w:t>
      </w:r>
    </w:p>
    <w:p>
      <w:r>
        <w:t>Admin begins after the founder chooses an assessed service or accepts a diagnostic scope. Provide the short relevant checklist, explain why each item is needed, and use secure job specific collection. An official notice has a faster triage path. Beth must not ask for account passwords, OTPs or indiscriminate uploads of all historical records.</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Work</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Typical second stage records</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Completion evidence</w:t>
            </w:r>
          </w:p>
        </w:tc>
      </w:tr>
      <w:tr>
        <w:trP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Setup</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Registration papers, authority and premises proof according to entity and LGU</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Each agency application and approval or receipt</w:t>
            </w:r>
          </w:p>
        </w:tc>
      </w:tr>
      <w:tr>
        <w:trP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Books and returns</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Period records, statements, past returns, tax credits and payment evidence</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Reviewed accounts; filing and payment tracked separately</w:t>
            </w:r>
          </w:p>
        </w:tc>
      </w:tr>
      <w:tr>
        <w:trP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Payroll</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Worker information, pay terms, attendance, agency identifiers and prior schedules</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Approved payroll and agreed agency evidence</w:t>
            </w:r>
          </w:p>
        </w:tc>
      </w:tr>
      <w:tr>
        <w:trP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Company annual work</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Year books, officers, owners, meeting date and ownership chain</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Current reporting submissions and acknowledgements</w:t>
            </w:r>
          </w:p>
        </w:tc>
      </w:tr>
      <w:tr>
        <w:trPr>
          <w:cantSplit/>
        </w:trPr>
        <w:tc>
          <w:tcPr>
            <w:tcW w:type="dxa" w:w="172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Notice or closure</w:t>
            </w:r>
          </w:p>
        </w:tc>
        <w:tc>
          <w:tcPr>
            <w:tcW w:type="dxa" w:w="460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Complete notice or cessation facts and historical tax records</w:t>
            </w:r>
          </w:p>
        </w:tc>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Professional action plan and agency by agency evidence</w:t>
            </w:r>
          </w:p>
        </w:tc>
      </w:tr>
    </w:tbl>
    <w:p/>
    <w:p>
      <w:r>
        <w:t>The Documents sheet is a preparatory menu, not a universal statutory checklist. A reviewer approves the exact list for the job, agency, year and jurisdiction. Admin checks legibility, missing items, record periods, signer authority and whether the quote assumptions still hold. The specialist confirms the final engagement scope before execution.</w:t>
      </w:r>
    </w:p>
    <w:p>
      <w:pPr>
        <w:pStyle w:val="Heading1"/>
      </w:pPr>
      <w:r>
        <w:t>8 Specialist matching and accountable delivery</w:t>
      </w:r>
    </w:p>
    <w:p>
      <w:r>
        <w:t>The workbook has ten specialty categories. Build the actual directory through verified partner onboarding; it does not contain invented professionals. For each partner record: skills evidenced by past work, industry experience, credential and accreditation status, coverage areas, working languages, role level, capacity, response time, fee agreement and any conflict or independence restriction.</w:t>
      </w:r>
    </w:p>
    <w:p>
      <w:r>
        <w:t>Apply hard eligibility filters before ranking: approved specialty, permitted professional scope, current required credentials, relevant jurisdiction, no unresolved conflict, audit independence where applicable, available capacity and accepted commercial terms. PRC registration alone should not be treated as proof of every required accreditation or authority. Verify both individual and firm status when the engagement requires it. [SRC15]</w:t>
      </w:r>
    </w:p>
    <w:p>
      <w:r>
        <w:t>Rank eligible partners by demonstrated fit, ability to meet the deadline, delivery mode and location, continuity with the client, communication and quality history. For remote work, geographic proximity may matter little. For permit visits, actual LGU coverage matters. Seniority should fit the work: a routine bookkeeper can execute while a named CPA reviews; foreign entry needs counsel and tax expertise.</w:t>
      </w:r>
    </w:p>
    <w:p>
      <w:r>
        <w:t>Begin with an explainable ordering rather than a weighted scoring algorithm with unsupported precision. Show up to three suitable options when available, explaining why each fits and disclosing relevant commercial arrangements. If no one meets the filters, say so and let admin find an alternative. Never compensate for an expired license by giving extra location or rating points.</w:t>
      </w:r>
    </w:p>
    <w:p>
      <w:r>
        <w:t>Reserve capacity only after the specialist accepts. Assign a named executor, reviewer and admin owner with appropriate document access. For audits, assess whether earlier preparation work creates an independence issue and arrange a separately contracted independent auditor. Track completion evidence, objections, rework, complaints and reassignment, then use verified outcomes to improve matching.</w:t>
      </w:r>
    </w:p>
    <w:p>
      <w:pPr>
        <w:pStyle w:val="Heading1"/>
      </w:pPr>
      <w:r>
        <w:t>9 Knowledge FAQ and source stewardship</w:t>
      </w:r>
    </w:p>
    <w:p>
      <w:r>
        <w:t>The Sources sheet contains 21 authority records plus the supplied commercial catalog, and the FAQ sheet 24 draft answers. The separate Market Sources sheet contains 17 pricing pages. Search and browsing are discovery tools. A source becomes operational knowledge only after extraction, scope classification, amendment checks, claim linking and professional approval. The answer library should retrieve applicable source versions and explain them; it should not rely on memorized training facts as legal evidence.</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Knowledge layer</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Allowed role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Publication rule</w:t>
            </w:r>
          </w:p>
        </w:tc>
      </w:tr>
      <w:tr>
        <w:trP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Law and official issuances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Support legal claims with exact section or page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Check effective dates scope amendments and reviewer approval</w:t>
            </w:r>
          </w:p>
        </w:tc>
      </w:tr>
      <w:tr>
        <w:trP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Official guidance and local checklists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Explain agency processes and local requirements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Check current version and jurisdiction</w:t>
            </w:r>
          </w:p>
        </w:tc>
      </w:tr>
      <w:tr>
        <w:trP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Professional commentary</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Explain ambiguity and locate the controlling source</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Label interpretation and keep primary evidence</w:t>
            </w:r>
          </w:p>
        </w:tc>
      </w:tr>
      <w:tr>
        <w:trP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News and forums</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Discover confusing experiences and founder wording</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Treat as signals; no legal rule or prevalence inference</w:t>
            </w:r>
          </w:p>
        </w:tc>
      </w:tr>
      <w:tr>
        <w:trPr>
          <w:cantSplit/>
        </w:trPr>
        <w:tc>
          <w:tcPr>
            <w:tcW w:type="dxa" w:w="208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General AI knowledge</w:t>
            </w:r>
          </w:p>
        </w:tc>
        <w:tc>
          <w:tcPr>
            <w:tcW w:type="dxa" w:w="360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Draft questions and explanations</w:t>
            </w:r>
          </w:p>
        </w:tc>
        <w:tc>
          <w:tcPr>
            <w:tcW w:type="dxa" w:w="403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Verify legal claims independently</w:t>
            </w:r>
          </w:p>
        </w:tc>
      </w:tr>
    </w:tbl>
    <w:p/>
    <w:p>
      <w:r>
        <w:t>Every knowledge record should include source authority, canonical URL, title, document number, topic, jurisdiction, covered entity, publication date, effective dates, fetched date, page or section locator, immutable version or content hash, supersession links, reviewer and approval date. Citation evidence must connect each material claim to the exact supporting passage. A home page link or unrelated source is insufficient.</w:t>
      </w:r>
    </w:p>
    <w:p>
      <w:r>
        <w:t>Sort and filter by authority, topic, jurisdiction, entity applicability, effective date, last review, approval and freshness. Proposed maintenance is weekly for time sensitive BIR and SEC matters, monthly for agency workflows and partner credentials, and event driven for changes. These are operating policies. Before quoting a deadline, rate or eligibility condition, verify the current applicable issuance regardless of the normal refresh interval.</w:t>
      </w:r>
    </w:p>
    <w:p>
      <w:r>
        <w:t>A detected change goes to review and temporarily suspends affected specific answers. Contradictory or inaccessible evidence prompts a qualified answer and human review. Preserve prior versions so an earlier answer or quote can be reconstructed. Retrieval dates do not replace issue dates, and a newer press article does not automatically override a legal instrument.</w:t>
      </w:r>
    </w:p>
    <w:p>
      <w:pPr>
        <w:pStyle w:val="Heading2"/>
      </w:pPr>
      <w:r>
        <w:t>Findings that affect Beth design now</w:t>
      </w:r>
    </w:p>
    <w:p>
      <w:pPr>
        <w:pStyle w:val="ListBullet"/>
      </w:pPr>
      <w:r>
        <w:t>Taxpayer class and service sizing should remain distinct. BIR RR 8-2024 provides gross sales classes; legal applicability requires more facts. [SRC02]</w:t>
      </w:r>
    </w:p>
    <w:p>
      <w:pPr>
        <w:pStyle w:val="ListBullet"/>
      </w:pPr>
      <w:r>
        <w:t>Current electronic invoice guidance is already dated September 2026. RMC 98-2026 sets December 31 2026 requirements for covered non micro taxpayers and separates issuance from later sales reporting rules. [SRC04]</w:t>
      </w:r>
    </w:p>
    <w:p>
      <w:pPr>
        <w:pStyle w:val="ListBullet"/>
      </w:pPr>
      <w:r>
        <w:t>The SEC office explanation for 2026 identifies a separate BOD submission through HARBOR. Obtain MC 9 series 2026 and applicable later notices before automating dates. [SRC06]</w:t>
      </w:r>
    </w:p>
    <w:p>
      <w:pPr>
        <w:pStyle w:val="ListBullet"/>
      </w:pPr>
      <w:r>
        <w:t>Local renewal logic varies. Quezon City describes annual permit validity by anniversary; distinguish this from business tax payment timing. [SRC09]</w:t>
      </w:r>
    </w:p>
    <w:p>
      <w:pPr>
        <w:pStyle w:val="ListBullet"/>
      </w:pPr>
      <w:r>
        <w:t>Foreign entry research must include the thirteenth negative list promulgated in April 2026. The February BOI guide is orientation rather than the final current sector rule. [SRC20 SRC21]</w:t>
      </w:r>
    </w:p>
    <w:p>
      <w:pPr>
        <w:pStyle w:val="Heading2"/>
      </w:pPr>
      <w:r>
        <w:t>Research limits</w:t>
      </w:r>
    </w:p>
    <w:p>
      <w:r>
        <w:t>Some official pages returned access errors or limited extraction. The source registry marks those cases rather than implying full review. No approved legal deadline engine, tax rate card or source scraper is delivered. The Signals sheet contains four indexed forum examples to seed discovery only; neither those examples nor a news article proves national prevalence. Additional FAQ families such as exact individual tax elections and specialized sectors need dedicated current primary research before publication.</w:t>
      </w:r>
    </w:p>
    <w:p>
      <w:pPr>
        <w:pStyle w:val="Heading1"/>
      </w:pPr>
      <w:r>
        <w:t>10 Data relationships before implementation</w:t>
      </w:r>
    </w:p>
    <w:p>
      <w:r>
        <w:t>The commercial chain is: founder inquiry, versioned profile, assessed needs, conditionally selected service units, versioned quote, eligible specialist match, accepted assignment, document requests, reviewed deliverables and continuing obligations. The evidence chain is: source, source version, approved rule or FAQ, answer claim and citation. Connect the chains through versioned assessment rules and applicable obligations.</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Relationship</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Cardinality</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Why it matters</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Business to inquiry and obligation</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to many</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 founder can have several businesses and tax periods</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Assessment to service</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Many to many through NeedService</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issue may require several tasks and vice versa</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Package to service</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Many to many through PackageComponent</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Reusable work without duplicate billing</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Quote to line</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One to many</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Each line freezes units price rule period and agency</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Specialist to specialty</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Many to many through SpecialistSkill</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Matching needs verified scope evidence</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Job to specialist</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Many to many through Assignment</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Executor reviewer and auditor roles differ</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Source to source version</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One to many</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Historical advice remains reconstructable</w:t>
            </w:r>
          </w:p>
        </w:tc>
      </w:tr>
      <w:tr>
        <w:trPr>
          <w:cantSplit/>
        </w:trPr>
        <w:tc>
          <w:tcPr>
            <w:tcW w:type="dxa" w:w="33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Answer to source version</w:t>
            </w:r>
          </w:p>
        </w:tc>
        <w:tc>
          <w:tcPr>
            <w:tcW w:type="dxa" w:w="259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Many to many through AnswerCitation</w:t>
            </w:r>
          </w:p>
        </w:tc>
        <w:tc>
          <w:tcPr>
            <w:tcW w:type="dxa" w:w="37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Every material claim has precise evidence</w:t>
            </w:r>
          </w:p>
        </w:tc>
      </w:tr>
    </w:tbl>
    <w:p/>
    <w:p>
      <w:r>
        <w:t>The Relationships sheet specifies 29 planning entities, stable identifiers, required fields and relationship rules. Spreadsheet lists are readable seeds; the future system needs explicit join records for package components, need to service mappings, skills and citations. A legal obligation is distinct from a sold service: the founder can fulfill it elsewhere, defer buying help, or already have completed it.</w:t>
      </w:r>
    </w:p>
    <w:p>
      <w:r>
        <w:t>Use business_id, service_code, tax or reporting period and agency as the canonical scope key. Store service and pricing versions on quote lines. Keep founder confirmations and permissions dated. Do not let corrected answers silently overwrite a signed engagement. Do not treat local currency amounts, unknown facts or pending human quotes as interchangeable zeros.</w:t>
      </w:r>
    </w:p>
    <w:p>
      <w:pPr>
        <w:pStyle w:val="Heading2"/>
      </w:pPr>
      <w:r>
        <w:t>Data connectivity decisions</w:t>
      </w:r>
    </w:p>
    <w:p>
      <w:pPr>
        <w:pStyle w:val="ListBullet"/>
      </w:pPr>
      <w:r>
        <w:t>Public knowledge: approved official documents and permitted snapshots, feeding the reviewed source library. Start with manual curation and change tracking.</w:t>
      </w:r>
    </w:p>
    <w:p>
      <w:pPr>
        <w:pStyle w:val="ListBullet"/>
      </w:pPr>
      <w:r>
        <w:t>Client profile: a minimal intake record feeding confirmed needs and the opportunity record; no document burden for initial questions.</w:t>
      </w:r>
    </w:p>
    <w:p>
      <w:pPr>
        <w:pStyle w:val="ListBullet"/>
      </w:pPr>
      <w:r>
        <w:t>Commercial catalog: services, components and pricing rules feed quote lines; specialist availability and credentials feed eligible matches.</w:t>
      </w:r>
    </w:p>
    <w:p>
      <w:pPr>
        <w:pStyle w:val="ListBullet"/>
      </w:pPr>
      <w:r>
        <w:t>Job operations: accepted quotes feed assignments, document collection, review, filing and payment evidence, and future reminders.</w:t>
      </w:r>
    </w:p>
    <w:p>
      <w:pPr>
        <w:pStyle w:val="ListBullet"/>
      </w:pPr>
      <w:r>
        <w:t>Agency records: begin with authorized human use and evidence capture. Public websites are not proof of an available API or permission to transact.</w:t>
      </w:r>
    </w:p>
    <w:p>
      <w:pPr>
        <w:pStyle w:val="ListBullet"/>
      </w:pPr>
      <w:r>
        <w:t>Accounting and client files: define owners, export formats, period coverage, authorization and quality checks before any software integration.</w:t>
      </w:r>
    </w:p>
    <w:p>
      <w:pPr>
        <w:pStyle w:val="Heading1"/>
      </w:pPr>
      <w:r>
        <w:t>11 Privacy and collection rules</w:t>
      </w:r>
    </w:p>
    <w:p>
      <w:r>
        <w:t>Initial profiling should gather only information needed to answer or identify a service. Explain the purpose, relevant profiling, retention and who may receive the summary. Document the appropriate lawful basis for each processing purpose. Where consent is used, record it and allow withdrawal. Specialist sharing and optional marketing should have separate records and clear notices. [SRC16 SRC17]</w:t>
      </w:r>
    </w:p>
    <w:p>
      <w:r>
        <w:t>Publicly visible forum posts are not automatically free to collect and repurpose with identities. NPC Advisory 2026-01 addresses public personal data scraping. Review lawful purpose, proportionality, website terms and collection safeguards; do not bypass access controls. Prefer anonymized pain categories and source pointers over personal profile harvesting. [SRC18]</w:t>
      </w:r>
    </w:p>
    <w:p>
      <w:r>
        <w:t>Determine a retention schedule with the privacy lead and relevant professional obligations. Restrict payroll, tax and identity documents by assignment role. Keep uploads outside the public FAQ corpus. Define correction, deletion, security incident and complaint procedures. The future system must be able to explain why a profile fact was collected and who has access to it.</w:t>
      </w:r>
    </w:p>
    <w:p>
      <w:pPr>
        <w:pStyle w:val="Heading1"/>
      </w:pPr>
      <w:r>
        <w:t>12 Preparation work and approval gates</w:t>
      </w:r>
    </w:p>
    <w:tbl>
      <w:tblPr>
        <w:tblW w:type="auto" w:w="0"/>
        <w:jc w:val="center"/>
        <w:tblLayout w:type="fixed"/>
        <w:tblLook w:firstColumn="1" w:firstRow="1" w:lastColumn="0" w:lastRow="0" w:noHBand="0" w:noVBand="1" w:val="04A0"/>
      </w:tblPr>
      <w:tblGrid>
        <w:gridCol w:w="3250"/>
        <w:gridCol w:w="3250"/>
        <w:gridCol w:w="3250"/>
      </w:tblGrid>
      <w:tr>
        <w:trPr>
          <w:tblHeade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Workstream</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Concrete output</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20364D"/>
          </w:tcPr>
          <w:p>
            <w:pPr>
              <w:spacing w:after="60"/>
            </w:pPr>
            <w:r>
              <w:rPr>
                <w:b/>
                <w:color w:val="FFFFFF"/>
                <w:sz w:val="18"/>
              </w:rPr>
              <w:t>Owner</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Commercial choices</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Managed service or referral model; contracting party; fee and commission policy; covered region</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Business owner</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Founder research</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20 to 30 interviews across launch stages; tagged anonymized inquiry sample; revised pain priorities</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Research and service lead</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Services and effort</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Approved code scope unit dependency and document definitions; partner effort ranges</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Operations and accounting lead</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Pricing calibration</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Historical job estimates or partner quotes; time logs; realistic admin overhead; approved margin</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Finance and operations</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Knowledge</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30 to 50 priority FAQs with claim citations current source versions and professional sign off</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Tax CPA counsel and knowledge owner</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Specialist supply</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Verified roster covering pilot services with reviewer capacity credentials and acceptance process</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Partner operations</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Profiling</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Approved questions routing rules need confirmation and escalation wording</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Service lead and professional reviewers</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Privacy and contracts</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Purpose notices basis sharing retention security responsibilities and engagement terms</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Privacy lead and counsel</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Manual pilot</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Complete 30 to 50 supervised inquiries and 10 to 20 scoped jobs where demand allows</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60"/>
            </w:pPr>
            <w:r>
              <w:rPr>
                <w:sz w:val="18"/>
              </w:rPr>
              <w:t>Operations</w:t>
            </w:r>
          </w:p>
        </w:tc>
      </w:tr>
      <w:tr>
        <w:trPr>
          <w:cantSplit/>
        </w:trPr>
        <w:tc>
          <w:tcPr>
            <w:tcW w:type="dxa" w:w="194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Product brief</w:t>
            </w:r>
          </w:p>
        </w:tc>
        <w:tc>
          <w:tcPr>
            <w:tcW w:type="dxa" w:w="590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Approved data dictionary relationships handoff states and acceptance criteria</w:t>
            </w:r>
          </w:p>
        </w:tc>
        <w:tc>
          <w:tcPr>
            <w:tcW w:type="dxa" w:w="187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8"/>
          </w:tcPr>
          <w:p>
            <w:pPr>
              <w:spacing w:after="60"/>
            </w:pPr>
            <w:r>
              <w:rPr>
                <w:sz w:val="18"/>
              </w:rPr>
              <w:t>Product and operations</w:t>
            </w:r>
          </w:p>
        </w:tc>
      </w:tr>
    </w:tbl>
    <w:p/>
    <w:p>
      <w:r>
        <w:t>The research and pilot sample sizes are proposals, not statistical proof. Capture active hours by delivery, review and admin role; elapsed time; missing record cycles; rework; actual government charges; and client acceptance. Calibrate common scopes using actual median and upper range outcomes rather than presenting the seed effort estimates as observed averages.</w:t>
      </w:r>
    </w:p>
    <w:p>
      <w:pPr>
        <w:pStyle w:val="Heading2"/>
      </w:pPr>
      <w:r>
        <w:t>Before writing implementation code</w:t>
      </w:r>
    </w:p>
    <w:p>
      <w:pPr>
        <w:pStyle w:val="ListBullet"/>
      </w:pPr>
      <w:r>
        <w:t>Approve all ten package boundaries and the 29 service definitions, or explicitly defer unsupported services.</w:t>
      </w:r>
    </w:p>
    <w:p>
      <w:pPr>
        <w:pStyle w:val="ListBullet"/>
      </w:pPr>
      <w:r>
        <w:t>Approve the priority FAQ claims and source versions with exact locators; resolve inaccessible legal evidence for anything Beth will state as current law.</w:t>
      </w:r>
    </w:p>
    <w:p>
      <w:pPr>
        <w:pStyle w:val="ListBullet"/>
      </w:pPr>
      <w:r>
        <w:t>Replace illustrative pricing inputs with approved cost and partner data; manually reproduce representative quotes.</w:t>
      </w:r>
    </w:p>
    <w:p>
      <w:pPr>
        <w:pStyle w:val="ListBullet"/>
      </w:pPr>
      <w:r>
        <w:t>Onboard actual eligible specialists, including reviewers, and define what happens when capacity or local coverage is missing.</w:t>
      </w:r>
    </w:p>
    <w:p>
      <w:pPr>
        <w:pStyle w:val="ListBullet"/>
      </w:pPr>
      <w:r>
        <w:t>Approve the minimum intake, branch rules, founder confirmation, document checklists and human escalation route.</w:t>
      </w:r>
    </w:p>
    <w:p>
      <w:pPr>
        <w:pStyle w:val="ListBullet"/>
      </w:pPr>
      <w:r>
        <w:t>Agree the data dictionary, relationship keys, versioning, privacy purposes and engagement responsibilities.</w:t>
      </w:r>
    </w:p>
    <w:p>
      <w:pPr>
        <w:pStyle w:val="ListBullet"/>
      </w:pPr>
      <w:r>
        <w:t>Test the founder journey manually, including refusal, correction, urgent notices, stale evidence, quote revisions and failed matches.</w:t>
      </w:r>
    </w:p>
    <w:p>
      <w:pPr>
        <w:pStyle w:val="Heading2"/>
      </w:pPr>
      <w:r>
        <w:t>Measures for the pilot</w:t>
      </w:r>
    </w:p>
    <w:p>
      <w:r>
        <w:t>Track answer citation coverage and correctness, professional escalations, founder corrections, diagnostic conversion, accepted quote rate, effort variance, contribution margin, completion timing, complaints, recurring retention and rework. Do not optimize conversion by suppressing free answers or necessary escalations. Suggested release targets include all material legal claims supported by approved citations, all official notices escalated, no invented credentials or prices, and no duplicate scope units in sampled quotes. Business conversion targets should follow baseline demand data.</w:t>
      </w:r>
    </w:p>
    <w:p>
      <w:pPr>
        <w:pStyle w:val="Heading2"/>
      </w:pPr>
      <w:r>
        <w:t>Scenario battery</w:t>
      </w:r>
    </w:p>
    <w:p>
      <w:pPr>
        <w:pStyle w:val="ListBullet"/>
      </w:pPr>
      <w:r>
        <w:t>DTI name only and ready to open: explain the registration layers and location dependency.</w:t>
      </w:r>
    </w:p>
    <w:p>
      <w:pPr>
        <w:pStyle w:val="ListBullet"/>
      </w:pPr>
      <w:r>
        <w:t>Online seller with platform deductions: distinguish credited withholding from complete tax compliance.</w:t>
      </w:r>
    </w:p>
    <w:p>
      <w:pPr>
        <w:pStyle w:val="ListBullet"/>
      </w:pPr>
      <w:r>
        <w:t>Founder cannot identify VAT status: offer tax review without deciding eligibility.</w:t>
      </w:r>
    </w:p>
    <w:p>
      <w:pPr>
        <w:pStyle w:val="ListBullet"/>
      </w:pPr>
      <w:r>
        <w:t>No sales or a paused business: assess registration and cessation duties without assuming closure.</w:t>
      </w:r>
    </w:p>
    <w:p>
      <w:pPr>
        <w:pStyle w:val="ListBullet"/>
      </w:pPr>
      <w:r>
        <w:t>Missing acknowledgements and historical books: separate unverified filings from confirmed backlog.</w:t>
      </w:r>
    </w:p>
    <w:p>
      <w:pPr>
        <w:pStyle w:val="ListBullet"/>
      </w:pPr>
      <w:r>
        <w:t>Employees labelled contractors: refer ambiguous status for review before payroll assumptions.</w:t>
      </w:r>
    </w:p>
    <w:p>
      <w:pPr>
        <w:pStyle w:val="ListBullet"/>
      </w:pPr>
      <w:r>
        <w:t>Corporation at year end: include applicable GIS BOD statements tax and independent audit scoping.</w:t>
      </w:r>
    </w:p>
    <w:p>
      <w:pPr>
        <w:pStyle w:val="ListBullet"/>
      </w:pPr>
      <w:r>
        <w:t>Foreign owned retail or regulated activity: route to sector specific counsel before setup.</w:t>
      </w:r>
    </w:p>
    <w:p>
      <w:pPr>
        <w:pStyle w:val="ListBullet"/>
      </w:pPr>
      <w:r>
        <w:t>Official letter received yesterday: capture receipt date and escalate without inventing a response deadline.</w:t>
      </w:r>
    </w:p>
    <w:p>
      <w:pPr>
        <w:pStyle w:val="ListBullet"/>
      </w:pPr>
      <w:r>
        <w:t>No eligible local partner: offer admin routing without dispatching an unqualified professional.</w:t>
      </w:r>
    </w:p>
    <w:p>
      <w:pPr>
        <w:pStyle w:val="ListBullet"/>
      </w:pPr>
      <w:r>
        <w:t>Two packages include the same books and period: charge one canonical scope.</w:t>
      </w:r>
    </w:p>
    <w:p>
      <w:pPr>
        <w:pStyle w:val="ListBullet"/>
      </w:pPr>
      <w:r>
        <w:t>A legal source changes after quote: preserve the original version and review affected advice and scope.</w:t>
      </w:r>
    </w:p>
    <w:p>
      <w:pPr>
        <w:pStyle w:val="Heading1"/>
      </w:pPr>
      <w:r>
        <w:t>13 Source register and workbook guide</w:t>
      </w:r>
    </w:p>
    <w:p>
      <w:r>
        <w:t>The workbook is the editable operating seed. Journey is the starting point; Packages connects concerns to outcomes; Catalogue and Catalogue Raw preserve supplied fulfillment records; Work Units and Components connect proposed scopes and effort to actual source code candidates; Catalogue Issues records cleanup decisions; Frequency controls units; Profiling and Rules connect facts to possible needs; Documents defines admin collection; Specialties defines partner capabilities; Pricing demonstrates the cost method; FAQ and Sources maintain evidence; Signals records research hypotheses; Relationships describes the future connected data. Readme explains assumptions and review status.</w:t>
      </w:r>
    </w:p>
    <w:p>
      <w:r>
        <w:t>Research access is not professional approval. All FAQ answers are drafts. Source URLs below support the limited factual findings in this plan; their full applicability and any later amendments must be checked before Beth gives customer specific advice.</w:t>
      </w:r>
    </w:p>
    <w:p>
      <w:hyperlink r:id="rId10">
        <w:r>
          <w:rPr>
            <w:color w:val="244F75"/>
          </w:rPr>
          <w:t>SRC01 BIR RA 11976 EOPT Act</w:t>
        </w:r>
      </w:hyperlink>
    </w:p>
    <w:p>
      <w:r>
        <w:t>National. Text opened. Professional validation pending.</w:t>
      </w:r>
    </w:p>
    <w:p>
      <w:hyperlink r:id="rId11">
        <w:r>
          <w:rPr>
            <w:color w:val="244F75"/>
          </w:rPr>
          <w:t>SRC02 BIR RR 8-2024</w:t>
        </w:r>
      </w:hyperlink>
    </w:p>
    <w:p>
      <w:r>
        <w:t>National. PDF opened. Professional validation pending.</w:t>
      </w:r>
    </w:p>
    <w:p>
      <w:hyperlink r:id="rId12">
        <w:r>
          <w:rPr>
            <w:color w:val="244F75"/>
          </w:rPr>
          <w:t>SRC03 BIR RMC 77-2024 with RR 7 and 11-2024</w:t>
        </w:r>
      </w:hyperlink>
    </w:p>
    <w:p>
      <w:r>
        <w:t>National. Scanned PDF opened; indexed text available. Validate full text and later amendments.</w:t>
      </w:r>
    </w:p>
    <w:p>
      <w:hyperlink r:id="rId13">
        <w:r>
          <w:rPr>
            <w:color w:val="244F75"/>
          </w:rPr>
          <w:t>SRC04 BIR RMC 98-2026</w:t>
        </w:r>
      </w:hyperlink>
    </w:p>
    <w:p>
      <w:r>
        <w:t>National. Full PDF text opened. Professional validation pending.</w:t>
      </w:r>
    </w:p>
    <w:p>
      <w:hyperlink r:id="rId14">
        <w:r>
          <w:rPr>
            <w:color w:val="244F75"/>
          </w:rPr>
          <w:t>SRC05 BIR RMC 8-2024</w:t>
        </w:r>
      </w:hyperlink>
    </w:p>
    <w:p>
      <w:r>
        <w:t>National. PDF text opened. Validate amendments and account applicability.</w:t>
      </w:r>
    </w:p>
    <w:p>
      <w:hyperlink r:id="rId15">
        <w:r>
          <w:rPr>
            <w:color w:val="244F75"/>
          </w:rPr>
          <w:t>SRC06 SEC SEC office explanation of MC 9 series 2026</w:t>
        </w:r>
      </w:hyperlink>
    </w:p>
    <w:p>
      <w:r>
        <w:t>National. Text opened; linked circular fetch failed. Obtain and approve circular before deadline automation.</w:t>
      </w:r>
    </w:p>
    <w:p>
      <w:hyperlink r:id="rId16">
        <w:r>
          <w:rPr>
            <w:color w:val="244F75"/>
          </w:rPr>
          <w:t>SRC07 SEC eFAST FAQ</w:t>
        </w:r>
      </w:hyperlink>
    </w:p>
    <w:p>
      <w:r>
        <w:t>National. Indexed text available; page extraction limited. Historical portal description; check current forms.</w:t>
      </w:r>
    </w:p>
    <w:p>
      <w:hyperlink r:id="rId17">
        <w:r>
          <w:rPr>
            <w:color w:val="244F75"/>
          </w:rPr>
          <w:t>SRC08 DTI BNRS FAQ</w:t>
        </w:r>
      </w:hyperlink>
    </w:p>
    <w:p>
      <w:r>
        <w:t>National. Indexed text available; direct fetch 403. Obtain current accessible copy.</w:t>
      </w:r>
    </w:p>
    <w:p>
      <w:hyperlink r:id="rId18">
        <w:r>
          <w:rPr>
            <w:color w:val="244F75"/>
          </w:rPr>
          <w:t>SRC09 Quezon City How to Renew Business Permit</w:t>
        </w:r>
      </w:hyperlink>
    </w:p>
    <w:p>
      <w:r>
        <w:t>Quezon City only. Text opened. Professional validation pending.</w:t>
      </w:r>
    </w:p>
    <w:p>
      <w:hyperlink r:id="rId19">
        <w:r>
          <w:rPr>
            <w:color w:val="244F75"/>
          </w:rPr>
          <w:t>SRC10 Quezon City How to Open a Business in QC</w:t>
        </w:r>
      </w:hyperlink>
    </w:p>
    <w:p>
      <w:r>
        <w:t>Quezon City only. Indexed text available. Verify before documentary checklist use.</w:t>
      </w:r>
    </w:p>
    <w:p>
      <w:hyperlink r:id="rId20">
        <w:r>
          <w:rPr>
            <w:color w:val="244F75"/>
          </w:rPr>
          <w:t>SRC11 SSS Employer ER guidance</w:t>
        </w:r>
      </w:hyperlink>
    </w:p>
    <w:p>
      <w:r>
        <w:t>National. Text opened. Professional validation pending.</w:t>
      </w:r>
    </w:p>
    <w:p>
      <w:hyperlink r:id="rId21">
        <w:r>
          <w:rPr>
            <w:color w:val="244F75"/>
          </w:rPr>
          <w:t>SRC12 PhilHealth Payment and Reporting Procedures</w:t>
        </w:r>
      </w:hyperlink>
    </w:p>
    <w:p>
      <w:r>
        <w:t>National. Text opened. Professional validation pending.</w:t>
      </w:r>
    </w:p>
    <w:p>
      <w:hyperlink r:id="rId22">
        <w:r>
          <w:rPr>
            <w:color w:val="244F75"/>
          </w:rPr>
          <w:t>SRC13 Pag IBIG eSRS payment facility guide</w:t>
        </w:r>
      </w:hyperlink>
    </w:p>
    <w:p>
      <w:r>
        <w:t>National. Indexed PDF text available. Obtain full current requirements.</w:t>
      </w:r>
    </w:p>
    <w:p>
      <w:hyperlink r:id="rId23">
        <w:r>
          <w:rPr>
            <w:color w:val="244F75"/>
          </w:rPr>
          <w:t>SRC14 BIR Citizen Charter service 28A</w:t>
        </w:r>
      </w:hyperlink>
    </w:p>
    <w:p>
      <w:r>
        <w:t>National; specified closure route. Text opened. Use with EOPT and current closure circulars.</w:t>
      </w:r>
    </w:p>
    <w:p>
      <w:hyperlink r:id="rId24">
        <w:r>
          <w:rPr>
            <w:color w:val="244F75"/>
          </w:rPr>
          <w:t>SRC15 PRC Active accreditation lists</w:t>
        </w:r>
      </w:hyperlink>
    </w:p>
    <w:p>
      <w:r>
        <w:t>National. Register page opened. Verify individual and firm credentials for each engagement.</w:t>
      </w:r>
    </w:p>
    <w:p>
      <w:hyperlink r:id="rId25">
        <w:r>
          <w:rPr>
            <w:color w:val="244F75"/>
          </w:rPr>
          <w:t>SRC16 NPC DPA implementing rules</w:t>
        </w:r>
      </w:hyperlink>
    </w:p>
    <w:p>
      <w:r>
        <w:t>National. Text opened. Professional validation pending.</w:t>
      </w:r>
    </w:p>
    <w:p>
      <w:hyperlink r:id="rId26">
        <w:r>
          <w:rPr>
            <w:color w:val="244F75"/>
          </w:rPr>
          <w:t>SRC17 NPC NPC Advisory 2024 04</w:t>
        </w:r>
      </w:hyperlink>
    </w:p>
    <w:p>
      <w:r>
        <w:t>National. PDF text opened. Professional validation pending.</w:t>
      </w:r>
    </w:p>
    <w:p>
      <w:hyperlink r:id="rId27">
        <w:r>
          <w:rPr>
            <w:color w:val="244F75"/>
          </w:rPr>
          <w:t>SRC18 NPC NPC Advisory 2026 01</w:t>
        </w:r>
      </w:hyperlink>
    </w:p>
    <w:p>
      <w:r>
        <w:t>National. PDF text opened. Professional validation pending.</w:t>
      </w:r>
    </w:p>
    <w:p>
      <w:hyperlink r:id="rId28">
        <w:r>
          <w:rPr>
            <w:color w:val="244F75"/>
          </w:rPr>
          <w:t>SRC19 Congress RA 11647</w:t>
        </w:r>
      </w:hyperlink>
    </w:p>
    <w:p>
      <w:r>
        <w:t>National. Text opened. Review with current sector law and negative list.</w:t>
      </w:r>
    </w:p>
    <w:p>
      <w:hyperlink r:id="rId29">
        <w:r>
          <w:rPr>
            <w:color w:val="244F75"/>
          </w:rPr>
          <w:t>SRC20 Executive and judiciary EO 113 thirteenth negative list</w:t>
        </w:r>
      </w:hyperlink>
    </w:p>
    <w:p>
      <w:r>
        <w:t>National. Indexed text available; direct fetch failed. Obtain annex and approve sector rules before advice.</w:t>
      </w:r>
    </w:p>
    <w:p>
      <w:hyperlink r:id="rId30">
        <w:r>
          <w:rPr>
            <w:color w:val="244F75"/>
          </w:rPr>
          <w:t>SRC21 BOI Doing Business in the Philippines 2026</w:t>
        </w:r>
      </w:hyperlink>
    </w:p>
    <w:p>
      <w:r>
        <w:t>National. Indexed PDF text available. Guide predates April 2026 negative list.</w:t>
      </w:r>
    </w:p>
    <w:p>
      <w:hyperlink r:id="rId31">
        <w:r>
          <w:rPr>
            <w:color w:val="244F75"/>
          </w:rPr>
          <w:t>SRC22 User supplied catalogue Latest Service Codes catalogue 28_9_26</w:t>
        </w:r>
      </w:hyperlink>
    </w:p>
    <w:p>
      <w:r>
        <w:t>Internal commercial catalogue. Downloaded and all rows read. Prices units tiers and coverage need confirmation.</w:t>
      </w:r>
    </w:p>
    <w:p>
      <w:pPr>
        <w:pStyle w:val="Heading2"/>
      </w:pPr>
      <w:r>
        <w:t>Market pricing sources</w:t>
      </w:r>
    </w:p>
    <w:p>
      <w:hyperlink r:id="rId32">
        <w:r>
          <w:rPr>
            <w:color w:val="244F75"/>
          </w:rPr>
          <w:t>M01 Accounting Tax Service</w:t>
        </w:r>
      </w:hyperlink>
    </w:p>
    <w:p>
      <w:r>
        <w:t>Pricing packages; Tuguegarao firm. Prices accessed October 2 2026; professional availability and final scope require confirmation.</w:t>
      </w:r>
    </w:p>
    <w:p>
      <w:hyperlink r:id="rId33">
        <w:r>
          <w:rPr>
            <w:color w:val="244F75"/>
          </w:rPr>
          <w:t>M02 Comply.ph</w:t>
        </w:r>
      </w:hyperlink>
    </w:p>
    <w:p>
      <w:r>
        <w:t>Existing company and company setup offers. Prices accessed October 2 2026; professional availability and final scope require confirmation.</w:t>
      </w:r>
    </w:p>
    <w:p>
      <w:hyperlink r:id="rId34">
        <w:r>
          <w:rPr>
            <w:color w:val="244F75"/>
          </w:rPr>
          <w:t>M03 BGB Services</w:t>
        </w:r>
      </w:hyperlink>
    </w:p>
    <w:p>
      <w:r>
        <w:t>Indicative professional fees. Prices accessed October 2 2026; professional availability and final scope require confirmation.</w:t>
      </w:r>
    </w:p>
    <w:p>
      <w:hyperlink r:id="rId35">
        <w:r>
          <w:rPr>
            <w:color w:val="244F75"/>
          </w:rPr>
          <w:t>M04 Taxumo</w:t>
        </w:r>
      </w:hyperlink>
    </w:p>
    <w:p>
      <w:r>
        <w:t>Quarterly billing and accountant retainer. Prices accessed October 2 2026; professional availability and final scope require confirmation.</w:t>
      </w:r>
    </w:p>
    <w:p>
      <w:hyperlink r:id="rId36">
        <w:r>
          <w:rPr>
            <w:color w:val="244F75"/>
          </w:rPr>
          <w:t>M05 MPM</w:t>
        </w:r>
      </w:hyperlink>
    </w:p>
    <w:p>
      <w:r>
        <w:t>Payroll price and contract FAQ. Prices accessed October 2 2026; professional availability and final scope require confirmation.</w:t>
      </w:r>
    </w:p>
    <w:p>
      <w:hyperlink r:id="rId37">
        <w:r>
          <w:rPr>
            <w:color w:val="244F75"/>
          </w:rPr>
          <w:t>M06 Crowdsource STEWARD</w:t>
        </w:r>
      </w:hyperlink>
    </w:p>
    <w:p>
      <w:r>
        <w:t>Service tiers. Prices accessed October 2 2026; professional availability and final scope require confirmation.</w:t>
      </w:r>
    </w:p>
    <w:p>
      <w:hyperlink r:id="rId38">
        <w:r>
          <w:rPr>
            <w:color w:val="244F75"/>
          </w:rPr>
          <w:t>M07 ESMERES</w:t>
        </w:r>
      </w:hyperlink>
    </w:p>
    <w:p>
      <w:r>
        <w:t>SEC one-time transactions. Prices accessed October 2 2026; professional availability and final scope require confirmation.</w:t>
      </w:r>
    </w:p>
    <w:p>
      <w:hyperlink r:id="rId39">
        <w:r>
          <w:rPr>
            <w:color w:val="244F75"/>
          </w:rPr>
          <w:t>M08 Taxumo partner consultation</w:t>
        </w:r>
      </w:hyperlink>
    </w:p>
    <w:p>
      <w:r>
        <w:t>Default displayed consultation variant. Prices accessed October 2 2026; professional availability and final scope require confirmation.</w:t>
      </w:r>
    </w:p>
    <w:p>
      <w:hyperlink r:id="rId40">
        <w:r>
          <w:rPr>
            <w:color w:val="244F75"/>
          </w:rPr>
          <w:t>M09 Taxumo partner GIS</w:t>
        </w:r>
      </w:hyperlink>
    </w:p>
    <w:p>
      <w:r>
        <w:t>Default displayed location variant. Prices accessed October 2 2026; professional availability and final scope require confirmation.</w:t>
      </w:r>
    </w:p>
    <w:p>
      <w:hyperlink r:id="rId41">
        <w:r>
          <w:rPr>
            <w:color w:val="244F75"/>
          </w:rPr>
          <w:t>M10 Taxumo partner corporation</w:t>
        </w:r>
      </w:hyperlink>
    </w:p>
    <w:p>
      <w:r>
        <w:t>Default displayed domestic corporation variant. Prices accessed October 2 2026; professional availability and final scope require confirmation.</w:t>
      </w:r>
    </w:p>
    <w:p>
      <w:hyperlink r:id="rId42">
        <w:r>
          <w:rPr>
            <w:color w:val="244F75"/>
          </w:rPr>
          <w:t>M11 Taxumo partner sole proprietor</w:t>
        </w:r>
      </w:hyperlink>
    </w:p>
    <w:p>
      <w:r>
        <w:t>Default displayed location variant. Prices accessed October 2 2026; professional availability and final scope require confirmation.</w:t>
      </w:r>
    </w:p>
    <w:p>
      <w:hyperlink r:id="rId43">
        <w:r>
          <w:rPr>
            <w:color w:val="244F75"/>
          </w:rPr>
          <w:t>M12 Taxumo partner AFS</w:t>
        </w:r>
      </w:hyperlink>
    </w:p>
    <w:p>
      <w:r>
        <w:t>Default displayed taxpayer variant. Prices accessed October 2 2026; professional availability and final scope require confirmation.</w:t>
      </w:r>
    </w:p>
    <w:p>
      <w:hyperlink r:id="rId44">
        <w:r>
          <w:rPr>
            <w:color w:val="244F75"/>
          </w:rPr>
          <w:t>M13 Taxumo partner Form 1700</w:t>
        </w:r>
      </w:hyperlink>
    </w:p>
    <w:p>
      <w:r>
        <w:t>Employment income service only. Prices accessed October 2 2026; professional availability and final scope require confirmation.</w:t>
      </w:r>
    </w:p>
    <w:p>
      <w:hyperlink r:id="rId45">
        <w:r>
          <w:rPr>
            <w:color w:val="244F75"/>
          </w:rPr>
          <w:t>M14 Taxumo partner open-case check</w:t>
        </w:r>
      </w:hyperlink>
    </w:p>
    <w:p>
      <w:r>
        <w:t>Default displayed location variant. Prices accessed October 2 2026; professional availability and final scope require confirmation.</w:t>
      </w:r>
    </w:p>
    <w:p>
      <w:hyperlink r:id="rId46">
        <w:r>
          <w:rPr>
            <w:color w:val="244F75"/>
          </w:rPr>
          <w:t>M15 Taxumo partner closure</w:t>
        </w:r>
      </w:hyperlink>
    </w:p>
    <w:p>
      <w:r>
        <w:t>Title and description conflict. Prices accessed October 2 2026; professional availability and final scope require confirmation.</w:t>
      </w:r>
    </w:p>
    <w:p>
      <w:hyperlink r:id="rId47">
        <w:r>
          <w:rPr>
            <w:color w:val="244F75"/>
          </w:rPr>
          <w:t>M16 StartBase</w:t>
        </w:r>
      </w:hyperlink>
    </w:p>
    <w:p>
      <w:r>
        <w:t>Early access OPC offer. Prices accessed October 2 2026; professional availability and final scope require confirmation.</w:t>
      </w:r>
    </w:p>
    <w:p>
      <w:hyperlink r:id="rId48">
        <w:r>
          <w:rPr>
            <w:color w:val="244F75"/>
          </w:rPr>
          <w:t>M17 Korp.ph</w:t>
        </w:r>
      </w:hyperlink>
    </w:p>
    <w:p>
      <w:r>
        <w:t>Majority foreign-owned setup offer. Prices accessed October 2 2026; professional availability and final scope require confirmation.</w:t>
      </w:r>
    </w:p>
    <w:sectPr w:rsidR="00FC693F" w:rsidRPr="0006063C" w:rsidSect="00034616">
      <w:footerReference w:type="default" r:id="rId9"/>
      <w:pgSz w:w="11909" w:h="16834"/>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Beth planning draft  |  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awphil.net/statutes/repacts/ra2024/ra_11976_2024.html" TargetMode="External"/><Relationship Id="rId11" Type="http://schemas.openxmlformats.org/officeDocument/2006/relationships/hyperlink" Target="https://bir-cdn.bir.gov.ph/BIR/pdf/RR%208-2024.pdf" TargetMode="External"/><Relationship Id="rId12" Type="http://schemas.openxmlformats.org/officeDocument/2006/relationships/hyperlink" Target="https://bir-cdn.bir.gov.ph/BIR/pdf/RMC%20No.%2077-2024.pdf" TargetMode="External"/><Relationship Id="rId13" Type="http://schemas.openxmlformats.org/officeDocument/2006/relationships/hyperlink" Target="https://bir-cdn.bir.gov.ph/BIR/pdf/RMC%20No.%2098-2026%20redacted.pdf" TargetMode="External"/><Relationship Id="rId14" Type="http://schemas.openxmlformats.org/officeDocument/2006/relationships/hyperlink" Target="https://bir-cdn.bir.gov.ph/BIR/pdf/RMC%20No.%208-2024.pdf" TargetMode="External"/><Relationship Id="rId15" Type="http://schemas.openxmlformats.org/officeDocument/2006/relationships/hyperlink" Target="https://pia.gov.ph/press-release/sec-cagayan-de-oro-sets-2026-deadlines-for-corporate-reports/" TargetMode="External"/><Relationship Id="rId16" Type="http://schemas.openxmlformats.org/officeDocument/2006/relationships/hyperlink" Target="https://efast.sec.gov.ph/faqs" TargetMode="External"/><Relationship Id="rId17" Type="http://schemas.openxmlformats.org/officeDocument/2006/relationships/hyperlink" Target="https://bnrs.dti.gov.ph/faq" TargetMode="External"/><Relationship Id="rId18" Type="http://schemas.openxmlformats.org/officeDocument/2006/relationships/hyperlink" Target="https://quezoncity.gov.ph/qcitizen-guides/how-to-renew-business-permit/" TargetMode="External"/><Relationship Id="rId19" Type="http://schemas.openxmlformats.org/officeDocument/2006/relationships/hyperlink" Target="https://quezoncity.gov.ph/qcitizen-guides/opening-a-business-in-qc/" TargetMode="External"/><Relationship Id="rId20" Type="http://schemas.openxmlformats.org/officeDocument/2006/relationships/hyperlink" Target="https://www.sss.gov.ph/employer-er/" TargetMode="External"/><Relationship Id="rId21" Type="http://schemas.openxmlformats.org/officeDocument/2006/relationships/hyperlink" Target="https://www.philhealth.gov.ph/partners/employers/pay_procedures.php" TargetMode="External"/><Relationship Id="rId22" Type="http://schemas.openxmlformats.org/officeDocument/2006/relationships/hyperlink" Target="https://www.pagibigfund.gov.ph/document/pdf/payments/ESRS.pdf" TargetMode="External"/><Relationship Id="rId23" Type="http://schemas.openxmlformats.org/officeDocument/2006/relationships/hyperlink" Target="https://www.bir.gov.ph/BIRCC-RDO-External-Service-28A" TargetMode="External"/><Relationship Id="rId24" Type="http://schemas.openxmlformats.org/officeDocument/2006/relationships/hyperlink" Target="https://prc.gov.ph/index.php/acd-lists-accreditation-registrationcomplianceauthority" TargetMode="External"/><Relationship Id="rId25" Type="http://schemas.openxmlformats.org/officeDocument/2006/relationships/hyperlink" Target="https://privacy.gov.ph/implementing-rules-regulations-data-privacy-act-2012/" TargetMode="External"/><Relationship Id="rId26" Type="http://schemas.openxmlformats.org/officeDocument/2006/relationships/hyperlink" Target="https://privacy.gov.ph/wp-content/uploads/2025/02/Advisory-2024.12.19-Guidelines-on-Artificial-Intelligence-w-SGD.pdf" TargetMode="External"/><Relationship Id="rId27" Type="http://schemas.openxmlformats.org/officeDocument/2006/relationships/hyperlink" Target="https://privacy.gov.ph/wp-content/uploads/2026/04/SGD_A_1.pdf" TargetMode="External"/><Relationship Id="rId28" Type="http://schemas.openxmlformats.org/officeDocument/2006/relationships/hyperlink" Target="https://www.lawphil.net/statutes/repacts/ra2022/ra_11647_2022.html" TargetMode="External"/><Relationship Id="rId29" Type="http://schemas.openxmlformats.org/officeDocument/2006/relationships/hyperlink" Target="https://elibrary.judiciary.gov.ph/thebookshelf/showdocs/5/101214" TargetMode="External"/><Relationship Id="rId30" Type="http://schemas.openxmlformats.org/officeDocument/2006/relationships/hyperlink" Target="https://boi.gov.ph/wp-content/uploads/2026/02/Doing-Business-in-the-Philippines-2026.pdf" TargetMode="External"/><Relationship Id="rId31" Type="http://schemas.openxmlformats.org/officeDocument/2006/relationships/hyperlink" Target="https://docs.google.com/spreadsheets/d/1iYtjok4gUSDVVMZrtakvrnaV_cY-d-dh/edit?gid=1639385162#gid=1639385162" TargetMode="External"/><Relationship Id="rId32" Type="http://schemas.openxmlformats.org/officeDocument/2006/relationships/hyperlink" Target="https://www.acctgtaxservice.com/" TargetMode="External"/><Relationship Id="rId33" Type="http://schemas.openxmlformats.org/officeDocument/2006/relationships/hyperlink" Target="https://comply.ph/pricing" TargetMode="External"/><Relationship Id="rId34" Type="http://schemas.openxmlformats.org/officeDocument/2006/relationships/hyperlink" Target="https://www.bgbservicesgroupinc.org/store" TargetMode="External"/><Relationship Id="rId35" Type="http://schemas.openxmlformats.org/officeDocument/2006/relationships/hyperlink" Target="https://www.taxumo.com/taxumo-subscription-plans/" TargetMode="External"/><Relationship Id="rId36" Type="http://schemas.openxmlformats.org/officeDocument/2006/relationships/hyperlink" Target="https://mpm.ph/outsource-payroll-service/" TargetMode="External"/><Relationship Id="rId37" Type="http://schemas.openxmlformats.org/officeDocument/2006/relationships/hyperlink" Target="https://crowdsourcesolutions.ph/solutions/stewrd/" TargetMode="External"/><Relationship Id="rId38" Type="http://schemas.openxmlformats.org/officeDocument/2006/relationships/hyperlink" Target="https://www.esmeres.com/services" TargetMode="External"/><Relationship Id="rId39" Type="http://schemas.openxmlformats.org/officeDocument/2006/relationships/hyperlink" Target="https://marketplace.taxumo.com/products/consultcpagrace" TargetMode="External"/><Relationship Id="rId40" Type="http://schemas.openxmlformats.org/officeDocument/2006/relationships/hyperlink" Target="https://marketplace.taxumo.com/products/general-information-sheet-gis-filing" TargetMode="External"/><Relationship Id="rId41" Type="http://schemas.openxmlformats.org/officeDocument/2006/relationships/hyperlink" Target="https://marketplace.taxumo.com/products/registercor" TargetMode="External"/><Relationship Id="rId42" Type="http://schemas.openxmlformats.org/officeDocument/2006/relationships/hyperlink" Target="https://marketplace.taxumo.com/products/registersolepro" TargetMode="External"/><Relationship Id="rId43" Type="http://schemas.openxmlformats.org/officeDocument/2006/relationships/hyperlink" Target="https://marketplace.taxumo.com/products/audited-financial-statement" TargetMode="External"/><Relationship Id="rId44" Type="http://schemas.openxmlformats.org/officeDocument/2006/relationships/hyperlink" Target="https://marketplace.taxumo.com/products/filing-of-form-1700" TargetMode="External"/><Relationship Id="rId45" Type="http://schemas.openxmlformats.org/officeDocument/2006/relationships/hyperlink" Target="https://marketplace.taxumo.com/products/checking-of-bir-open-cases" TargetMode="External"/><Relationship Id="rId46" Type="http://schemas.openxmlformats.org/officeDocument/2006/relationships/hyperlink" Target="https://marketplace.taxumo.com/products/closure-of-business-sole-proprietor" TargetMode="External"/><Relationship Id="rId47" Type="http://schemas.openxmlformats.org/officeDocument/2006/relationships/hyperlink" Target="https://www.startbase.ph/" TargetMode="External"/><Relationship Id="rId48" Type="http://schemas.openxmlformats.org/officeDocument/2006/relationships/hyperlink" Target="https://www.korp.ph/blog/what-is-the-cost-to-set-up-a-foreign-owned-corporation-in-the-philipp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Beth prebuild operating blueprint</dc:title>
  <dc:subject>Philippine founder concierge service design and planning data</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